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B34" w:rsidRDefault="00480B34">
      <w:pPr>
        <w:kinsoku w:val="0"/>
        <w:overflowPunct w:val="0"/>
        <w:autoSpaceDE/>
        <w:autoSpaceDN/>
        <w:adjustRightInd/>
        <w:spacing w:after="253" w:line="20" w:lineRule="exact"/>
        <w:ind w:right="245"/>
        <w:textAlignment w:val="baseline"/>
        <w:rPr>
          <w:sz w:val="24"/>
          <w:szCs w:val="24"/>
        </w:rPr>
      </w:pPr>
    </w:p>
    <w:p w:rsidR="00480B34" w:rsidRDefault="002E05B4">
      <w:pPr>
        <w:kinsoku w:val="0"/>
        <w:overflowPunct w:val="0"/>
        <w:autoSpaceDE/>
        <w:autoSpaceDN/>
        <w:adjustRightInd/>
        <w:spacing w:line="278" w:lineRule="exact"/>
        <w:ind w:left="72"/>
        <w:jc w:val="center"/>
        <w:textAlignment w:val="baseline"/>
        <w:rPr>
          <w:b/>
          <w:bCs/>
          <w:spacing w:val="15"/>
          <w:sz w:val="22"/>
          <w:szCs w:val="22"/>
          <w:lang w:val="es-ES" w:eastAsia="es-ES"/>
        </w:rPr>
      </w:pPr>
      <w:proofErr w:type="gramStart"/>
      <w:r>
        <w:rPr>
          <w:b/>
          <w:bCs/>
          <w:spacing w:val="15"/>
          <w:sz w:val="22"/>
          <w:szCs w:val="22"/>
          <w:lang w:val="es-ES" w:eastAsia="es-ES"/>
        </w:rPr>
        <w:t>RESOLUCIÓN N.</w:t>
      </w:r>
      <w:proofErr w:type="gramEnd"/>
      <w:r>
        <w:rPr>
          <w:b/>
          <w:bCs/>
          <w:spacing w:val="15"/>
          <w:sz w:val="22"/>
          <w:szCs w:val="22"/>
          <w:lang w:val="es-ES" w:eastAsia="es-ES"/>
        </w:rPr>
        <w:t xml:space="preserve"> </w:t>
      </w:r>
      <w:proofErr w:type="spellStart"/>
      <w:r>
        <w:rPr>
          <w:b/>
          <w:bCs/>
          <w:spacing w:val="15"/>
          <w:sz w:val="22"/>
          <w:szCs w:val="22"/>
          <w:lang w:val="es-ES" w:eastAsia="es-ES"/>
        </w:rPr>
        <w:t>TAT</w:t>
      </w:r>
      <w:proofErr w:type="spellEnd"/>
      <w:r>
        <w:rPr>
          <w:b/>
          <w:bCs/>
          <w:spacing w:val="15"/>
          <w:sz w:val="22"/>
          <w:szCs w:val="22"/>
          <w:lang w:val="es-ES" w:eastAsia="es-ES"/>
        </w:rPr>
        <w:t>-3335-2017</w:t>
      </w:r>
    </w:p>
    <w:p w:rsidR="00480B34" w:rsidRDefault="002E05B4">
      <w:pPr>
        <w:kinsoku w:val="0"/>
        <w:overflowPunct w:val="0"/>
        <w:autoSpaceDE/>
        <w:autoSpaceDN/>
        <w:adjustRightInd/>
        <w:spacing w:before="320" w:line="317" w:lineRule="exact"/>
        <w:ind w:left="72"/>
        <w:jc w:val="both"/>
        <w:textAlignment w:val="baseline"/>
        <w:rPr>
          <w:spacing w:val="9"/>
          <w:sz w:val="22"/>
          <w:szCs w:val="22"/>
          <w:lang w:val="es-ES" w:eastAsia="es-ES"/>
        </w:rPr>
      </w:pPr>
      <w:r>
        <w:rPr>
          <w:b/>
          <w:bCs/>
          <w:spacing w:val="9"/>
          <w:sz w:val="22"/>
          <w:szCs w:val="22"/>
          <w:lang w:val="es-ES" w:eastAsia="es-ES"/>
        </w:rPr>
        <w:t xml:space="preserve">TRIBUNAL ADMINISTRATIVO DE TRANSPORTE. </w:t>
      </w:r>
      <w:r>
        <w:rPr>
          <w:spacing w:val="9"/>
          <w:sz w:val="22"/>
          <w:szCs w:val="22"/>
          <w:lang w:val="es-ES" w:eastAsia="es-ES"/>
        </w:rPr>
        <w:t>Curridabat, a las diez horas treinta y ocho minutos del treinta y uno de octubre del dos mil diecisiete.</w:t>
      </w:r>
    </w:p>
    <w:p w:rsidR="00480B34" w:rsidRDefault="002E05B4">
      <w:pPr>
        <w:kinsoku w:val="0"/>
        <w:overflowPunct w:val="0"/>
        <w:autoSpaceDE/>
        <w:autoSpaceDN/>
        <w:adjustRightInd/>
        <w:spacing w:before="325" w:line="317" w:lineRule="exact"/>
        <w:ind w:left="72"/>
        <w:jc w:val="both"/>
        <w:textAlignment w:val="baseline"/>
        <w:rPr>
          <w:b/>
          <w:bCs/>
          <w:sz w:val="22"/>
          <w:szCs w:val="22"/>
          <w:lang w:val="es-ES" w:eastAsia="es-ES"/>
        </w:rPr>
      </w:pPr>
      <w:r>
        <w:rPr>
          <w:sz w:val="22"/>
          <w:szCs w:val="22"/>
          <w:lang w:val="es-ES" w:eastAsia="es-ES"/>
        </w:rPr>
        <w:t xml:space="preserve">Se conoce </w:t>
      </w:r>
      <w:r w:rsidRPr="00673C04">
        <w:rPr>
          <w:b/>
          <w:sz w:val="22"/>
          <w:szCs w:val="22"/>
          <w:lang w:val="es-ES" w:eastAsia="es-ES"/>
        </w:rPr>
        <w:t>RECURSO DE APELACIÓN EN SUBSIDIO E INCIDENTES DE NULIDAD ABSOLUTA CONCOMITANTE Y SUSPENSIÓN DE LOS EFECTOS DEL ACTO</w:t>
      </w:r>
      <w:r>
        <w:rPr>
          <w:sz w:val="22"/>
          <w:szCs w:val="22"/>
          <w:lang w:val="es-ES" w:eastAsia="es-ES"/>
        </w:rPr>
        <w:t xml:space="preserve">, interpuesto por </w:t>
      </w:r>
      <w:proofErr w:type="spellStart"/>
      <w:r w:rsidRPr="00673C04">
        <w:rPr>
          <w:b/>
          <w:sz w:val="22"/>
          <w:szCs w:val="22"/>
          <w:lang w:val="es-ES" w:eastAsia="es-ES"/>
        </w:rPr>
        <w:t>G</w:t>
      </w:r>
      <w:r w:rsidR="00673C04">
        <w:rPr>
          <w:b/>
          <w:sz w:val="22"/>
          <w:szCs w:val="22"/>
          <w:lang w:val="es-ES" w:eastAsia="es-ES"/>
        </w:rPr>
        <w:t>.D.Z.J</w:t>
      </w:r>
      <w:proofErr w:type="spellEnd"/>
      <w:r w:rsidR="00673C04">
        <w:rPr>
          <w:b/>
          <w:sz w:val="22"/>
          <w:szCs w:val="22"/>
          <w:lang w:val="es-ES" w:eastAsia="es-ES"/>
        </w:rPr>
        <w:t>.</w:t>
      </w:r>
      <w:r>
        <w:rPr>
          <w:sz w:val="22"/>
          <w:szCs w:val="22"/>
          <w:lang w:val="es-ES" w:eastAsia="es-ES"/>
        </w:rPr>
        <w:t xml:space="preserve"> cédula de identidad número </w:t>
      </w:r>
      <w:r w:rsidR="00673C04">
        <w:rPr>
          <w:sz w:val="22"/>
          <w:szCs w:val="22"/>
          <w:lang w:val="es-ES" w:eastAsia="es-ES"/>
        </w:rPr>
        <w:t>…</w:t>
      </w:r>
      <w:r>
        <w:rPr>
          <w:sz w:val="22"/>
          <w:szCs w:val="22"/>
          <w:lang w:val="es-ES" w:eastAsia="es-ES"/>
        </w:rPr>
        <w:t xml:space="preserve">; en contra del </w:t>
      </w:r>
      <w:r>
        <w:rPr>
          <w:b/>
          <w:bCs/>
          <w:sz w:val="22"/>
          <w:szCs w:val="22"/>
          <w:lang w:val="es-ES" w:eastAsia="es-ES"/>
        </w:rPr>
        <w:t xml:space="preserve">Artículo 7.12 de la Sesión Ordinaria 25-2017, celebrada el 21 de junio del 2017 </w:t>
      </w:r>
      <w:r>
        <w:rPr>
          <w:sz w:val="22"/>
          <w:szCs w:val="22"/>
          <w:lang w:val="es-ES" w:eastAsia="es-ES"/>
        </w:rPr>
        <w:t xml:space="preserve">por la Junta Directiva del Consejo de Transporte Público, y tramitado en este Despacho bajo el </w:t>
      </w:r>
      <w:r>
        <w:rPr>
          <w:b/>
          <w:bCs/>
          <w:sz w:val="22"/>
          <w:szCs w:val="22"/>
          <w:lang w:val="es-ES" w:eastAsia="es-ES"/>
        </w:rPr>
        <w:t xml:space="preserve">expediente administrativo </w:t>
      </w:r>
      <w:r>
        <w:rPr>
          <w:sz w:val="22"/>
          <w:szCs w:val="22"/>
          <w:lang w:val="es-ES" w:eastAsia="es-ES"/>
        </w:rPr>
        <w:t xml:space="preserve">número </w:t>
      </w:r>
      <w:proofErr w:type="spellStart"/>
      <w:r>
        <w:rPr>
          <w:b/>
          <w:bCs/>
          <w:sz w:val="22"/>
          <w:szCs w:val="22"/>
          <w:lang w:val="es-ES" w:eastAsia="es-ES"/>
        </w:rPr>
        <w:t>TAT</w:t>
      </w:r>
      <w:proofErr w:type="spellEnd"/>
      <w:r>
        <w:rPr>
          <w:b/>
          <w:bCs/>
          <w:sz w:val="22"/>
          <w:szCs w:val="22"/>
          <w:lang w:val="es-ES" w:eastAsia="es-ES"/>
        </w:rPr>
        <w:t>-120-17.</w:t>
      </w:r>
    </w:p>
    <w:p w:rsidR="00480B34" w:rsidRDefault="002E05B4">
      <w:pPr>
        <w:kinsoku w:val="0"/>
        <w:overflowPunct w:val="0"/>
        <w:autoSpaceDE/>
        <w:autoSpaceDN/>
        <w:adjustRightInd/>
        <w:spacing w:before="366" w:line="269" w:lineRule="exact"/>
        <w:ind w:left="72"/>
        <w:jc w:val="center"/>
        <w:textAlignment w:val="baseline"/>
        <w:rPr>
          <w:b/>
          <w:bCs/>
          <w:spacing w:val="13"/>
          <w:sz w:val="22"/>
          <w:szCs w:val="22"/>
          <w:lang w:val="es-ES" w:eastAsia="es-ES"/>
        </w:rPr>
      </w:pPr>
      <w:r>
        <w:rPr>
          <w:b/>
          <w:bCs/>
          <w:spacing w:val="13"/>
          <w:sz w:val="22"/>
          <w:szCs w:val="22"/>
          <w:lang w:val="es-ES" w:eastAsia="es-ES"/>
        </w:rPr>
        <w:t>RESULTANDO</w:t>
      </w:r>
    </w:p>
    <w:p w:rsidR="00480B34" w:rsidRDefault="002E05B4">
      <w:pPr>
        <w:kinsoku w:val="0"/>
        <w:overflowPunct w:val="0"/>
        <w:autoSpaceDE/>
        <w:autoSpaceDN/>
        <w:adjustRightInd/>
        <w:spacing w:before="316" w:line="317" w:lineRule="exact"/>
        <w:ind w:left="72"/>
        <w:jc w:val="both"/>
        <w:textAlignment w:val="baseline"/>
        <w:rPr>
          <w:spacing w:val="8"/>
          <w:sz w:val="22"/>
          <w:szCs w:val="22"/>
          <w:lang w:val="es-ES" w:eastAsia="es-ES"/>
        </w:rPr>
      </w:pPr>
      <w:r>
        <w:rPr>
          <w:b/>
          <w:bCs/>
          <w:spacing w:val="8"/>
          <w:sz w:val="22"/>
          <w:szCs w:val="22"/>
          <w:lang w:val="es-ES" w:eastAsia="es-ES"/>
        </w:rPr>
        <w:t xml:space="preserve">PRIMERO. - </w:t>
      </w:r>
      <w:r>
        <w:rPr>
          <w:spacing w:val="8"/>
          <w:sz w:val="22"/>
          <w:szCs w:val="22"/>
          <w:lang w:val="es-ES" w:eastAsia="es-ES"/>
        </w:rPr>
        <w:t xml:space="preserve">La Junta Directiva del Consejo de Transporte Público en </w:t>
      </w:r>
      <w:r>
        <w:rPr>
          <w:b/>
          <w:bCs/>
          <w:spacing w:val="8"/>
          <w:sz w:val="22"/>
          <w:szCs w:val="22"/>
          <w:lang w:val="es-ES" w:eastAsia="es-ES"/>
        </w:rPr>
        <w:t xml:space="preserve">Artículo 7.12 de la Sesión Ordinaria 25-2017, celebrada el 21 de junio del 2017, </w:t>
      </w:r>
      <w:r>
        <w:rPr>
          <w:spacing w:val="8"/>
          <w:sz w:val="22"/>
          <w:szCs w:val="22"/>
          <w:lang w:val="es-ES" w:eastAsia="es-ES"/>
        </w:rPr>
        <w:t xml:space="preserve">conoció el oficio </w:t>
      </w:r>
      <w:proofErr w:type="spellStart"/>
      <w:r>
        <w:rPr>
          <w:spacing w:val="8"/>
          <w:sz w:val="22"/>
          <w:szCs w:val="22"/>
          <w:lang w:val="es-ES" w:eastAsia="es-ES"/>
        </w:rPr>
        <w:t>DAJ</w:t>
      </w:r>
      <w:proofErr w:type="spellEnd"/>
      <w:r>
        <w:rPr>
          <w:spacing w:val="8"/>
          <w:sz w:val="22"/>
          <w:szCs w:val="22"/>
          <w:lang w:val="es-ES" w:eastAsia="es-ES"/>
        </w:rPr>
        <w:t>-2017-001607 del 19 de junio del 2017, emitido por la Dirección de Asuntos Jurídico de ese Consejo, y acordó lo siguiente:</w:t>
      </w:r>
    </w:p>
    <w:p w:rsidR="00480B34" w:rsidRPr="00673C04" w:rsidRDefault="002E05B4">
      <w:pPr>
        <w:kinsoku w:val="0"/>
        <w:overflowPunct w:val="0"/>
        <w:autoSpaceDE/>
        <w:autoSpaceDN/>
        <w:adjustRightInd/>
        <w:spacing w:before="328" w:line="269" w:lineRule="exact"/>
        <w:ind w:left="1008"/>
        <w:textAlignment w:val="baseline"/>
        <w:rPr>
          <w:b/>
          <w:spacing w:val="-7"/>
          <w:sz w:val="22"/>
          <w:szCs w:val="22"/>
          <w:lang w:val="es-ES" w:eastAsia="es-ES"/>
        </w:rPr>
      </w:pPr>
      <w:r w:rsidRPr="00673C04">
        <w:rPr>
          <w:b/>
          <w:spacing w:val="-7"/>
          <w:sz w:val="22"/>
          <w:szCs w:val="22"/>
          <w:lang w:val="es-ES" w:eastAsia="es-ES"/>
        </w:rPr>
        <w:t>"POR TANTO, SE ACUERDA:</w:t>
      </w:r>
    </w:p>
    <w:p w:rsidR="00480B34" w:rsidRDefault="002E05B4">
      <w:pPr>
        <w:numPr>
          <w:ilvl w:val="0"/>
          <w:numId w:val="1"/>
        </w:numPr>
        <w:kinsoku w:val="0"/>
        <w:overflowPunct w:val="0"/>
        <w:autoSpaceDE/>
        <w:autoSpaceDN/>
        <w:adjustRightInd/>
        <w:spacing w:before="226" w:line="230" w:lineRule="exact"/>
        <w:ind w:right="864"/>
        <w:jc w:val="both"/>
        <w:textAlignment w:val="baseline"/>
        <w:rPr>
          <w:spacing w:val="-8"/>
          <w:sz w:val="22"/>
          <w:szCs w:val="22"/>
          <w:lang w:val="es-ES" w:eastAsia="es-ES"/>
        </w:rPr>
      </w:pPr>
      <w:r>
        <w:rPr>
          <w:spacing w:val="-8"/>
          <w:sz w:val="22"/>
          <w:szCs w:val="22"/>
          <w:lang w:val="es-ES" w:eastAsia="es-ES"/>
        </w:rPr>
        <w:t xml:space="preserve">Aprobar, basados en los fundamentos, motivos y contenidos, desarrollados en los considerandos del oficio </w:t>
      </w:r>
      <w:proofErr w:type="spellStart"/>
      <w:r w:rsidRPr="00673C04">
        <w:rPr>
          <w:b/>
          <w:spacing w:val="-8"/>
          <w:sz w:val="22"/>
          <w:szCs w:val="22"/>
          <w:lang w:val="es-ES" w:eastAsia="es-ES"/>
        </w:rPr>
        <w:t>DAJ</w:t>
      </w:r>
      <w:proofErr w:type="spellEnd"/>
      <w:r w:rsidRPr="00673C04">
        <w:rPr>
          <w:b/>
          <w:spacing w:val="-8"/>
          <w:sz w:val="22"/>
          <w:szCs w:val="22"/>
          <w:lang w:val="es-ES" w:eastAsia="es-ES"/>
        </w:rPr>
        <w:t xml:space="preserve"> 2017-001607</w:t>
      </w:r>
      <w:r>
        <w:rPr>
          <w:spacing w:val="-8"/>
          <w:sz w:val="22"/>
          <w:szCs w:val="22"/>
          <w:lang w:val="es-ES" w:eastAsia="es-ES"/>
        </w:rPr>
        <w:t>, todas las recomendaciones contenidas en el oficio dicho, el cual forma parte integral de este acuerdo.</w:t>
      </w:r>
    </w:p>
    <w:p w:rsidR="00480B34" w:rsidRDefault="002E05B4">
      <w:pPr>
        <w:numPr>
          <w:ilvl w:val="0"/>
          <w:numId w:val="1"/>
        </w:numPr>
        <w:kinsoku w:val="0"/>
        <w:overflowPunct w:val="0"/>
        <w:autoSpaceDE/>
        <w:autoSpaceDN/>
        <w:adjustRightInd/>
        <w:spacing w:before="8" w:line="226" w:lineRule="exact"/>
        <w:ind w:right="864"/>
        <w:jc w:val="both"/>
        <w:textAlignment w:val="baseline"/>
        <w:rPr>
          <w:spacing w:val="-8"/>
          <w:sz w:val="22"/>
          <w:szCs w:val="22"/>
          <w:lang w:val="es-ES" w:eastAsia="es-ES"/>
        </w:rPr>
      </w:pPr>
      <w:r>
        <w:rPr>
          <w:spacing w:val="-8"/>
          <w:sz w:val="22"/>
          <w:szCs w:val="22"/>
          <w:lang w:val="es-ES" w:eastAsia="es-ES"/>
        </w:rPr>
        <w:t xml:space="preserve">Iniciar procedimiento administrativo ordinario de cancelación de la concesión </w:t>
      </w:r>
      <w:proofErr w:type="spellStart"/>
      <w:r w:rsidRPr="00673C04">
        <w:rPr>
          <w:b/>
          <w:spacing w:val="-8"/>
          <w:sz w:val="22"/>
          <w:szCs w:val="22"/>
          <w:lang w:val="es-ES" w:eastAsia="es-ES"/>
        </w:rPr>
        <w:t>TP</w:t>
      </w:r>
      <w:proofErr w:type="spellEnd"/>
      <w:r w:rsidRPr="00673C04">
        <w:rPr>
          <w:b/>
          <w:spacing w:val="-8"/>
          <w:sz w:val="22"/>
          <w:szCs w:val="22"/>
          <w:lang w:val="es-ES" w:eastAsia="es-ES"/>
        </w:rPr>
        <w:t xml:space="preserve"> </w:t>
      </w:r>
      <w:r w:rsidR="00673C04">
        <w:rPr>
          <w:b/>
          <w:spacing w:val="-8"/>
          <w:sz w:val="22"/>
          <w:szCs w:val="22"/>
          <w:lang w:val="es-ES" w:eastAsia="es-ES"/>
        </w:rPr>
        <w:t>XXX</w:t>
      </w:r>
      <w:r>
        <w:rPr>
          <w:spacing w:val="-8"/>
          <w:sz w:val="22"/>
          <w:szCs w:val="22"/>
          <w:lang w:val="es-ES" w:eastAsia="es-ES"/>
        </w:rPr>
        <w:t xml:space="preserve">, al señor </w:t>
      </w:r>
      <w:proofErr w:type="spellStart"/>
      <w:r w:rsidRPr="00673C04">
        <w:rPr>
          <w:b/>
          <w:spacing w:val="-8"/>
          <w:sz w:val="22"/>
          <w:szCs w:val="22"/>
          <w:lang w:val="es-ES" w:eastAsia="es-ES"/>
        </w:rPr>
        <w:t>G</w:t>
      </w:r>
      <w:r w:rsidR="00673C04">
        <w:rPr>
          <w:b/>
          <w:spacing w:val="-8"/>
          <w:sz w:val="22"/>
          <w:szCs w:val="22"/>
          <w:lang w:val="es-ES" w:eastAsia="es-ES"/>
        </w:rPr>
        <w:t>.D.Z.J</w:t>
      </w:r>
      <w:proofErr w:type="spellEnd"/>
      <w:r w:rsidR="00673C04">
        <w:rPr>
          <w:b/>
          <w:spacing w:val="-8"/>
          <w:sz w:val="22"/>
          <w:szCs w:val="22"/>
          <w:lang w:val="es-ES" w:eastAsia="es-ES"/>
        </w:rPr>
        <w:t>.</w:t>
      </w:r>
      <w:r>
        <w:rPr>
          <w:spacing w:val="-8"/>
          <w:sz w:val="22"/>
          <w:szCs w:val="22"/>
          <w:lang w:val="es-ES" w:eastAsia="es-ES"/>
        </w:rPr>
        <w:t xml:space="preserve"> por presuntamente no cumplir con su obligación de formalizar la cesión aprobada a su nombre, al no pr</w:t>
      </w:r>
      <w:bookmarkStart w:id="0" w:name="_GoBack"/>
      <w:bookmarkEnd w:id="0"/>
      <w:r>
        <w:rPr>
          <w:spacing w:val="-8"/>
          <w:sz w:val="22"/>
          <w:szCs w:val="22"/>
          <w:lang w:val="es-ES" w:eastAsia="es-ES"/>
        </w:rPr>
        <w:t xml:space="preserve">esentarse a firmar la Adenda del Contrato de Concesión a su nombre, dentro del plazo señalado en el artículo 37 de la Ley </w:t>
      </w:r>
      <w:proofErr w:type="spellStart"/>
      <w:r>
        <w:rPr>
          <w:spacing w:val="-8"/>
          <w:sz w:val="22"/>
          <w:szCs w:val="22"/>
          <w:lang w:val="es-ES" w:eastAsia="es-ES"/>
        </w:rPr>
        <w:t>N°</w:t>
      </w:r>
      <w:proofErr w:type="spellEnd"/>
      <w:r>
        <w:rPr>
          <w:spacing w:val="-8"/>
          <w:sz w:val="22"/>
          <w:szCs w:val="22"/>
          <w:lang w:val="es-ES" w:eastAsia="es-ES"/>
        </w:rPr>
        <w:t xml:space="preserve"> 7969, a efectos de lo cual se comisiona a la dirección de Asuntos Jurídicos el inicio de dicho procedimiento.</w:t>
      </w:r>
    </w:p>
    <w:p w:rsidR="00480B34" w:rsidRDefault="002E05B4">
      <w:pPr>
        <w:numPr>
          <w:ilvl w:val="0"/>
          <w:numId w:val="1"/>
        </w:numPr>
        <w:kinsoku w:val="0"/>
        <w:overflowPunct w:val="0"/>
        <w:autoSpaceDE/>
        <w:autoSpaceDN/>
        <w:adjustRightInd/>
        <w:spacing w:before="3" w:line="225" w:lineRule="exact"/>
        <w:ind w:right="864"/>
        <w:jc w:val="both"/>
        <w:textAlignment w:val="baseline"/>
        <w:rPr>
          <w:sz w:val="22"/>
          <w:szCs w:val="22"/>
          <w:lang w:val="es-ES" w:eastAsia="es-ES"/>
        </w:rPr>
      </w:pPr>
      <w:r>
        <w:rPr>
          <w:sz w:val="22"/>
          <w:szCs w:val="22"/>
          <w:lang w:val="es-ES" w:eastAsia="es-ES"/>
        </w:rPr>
        <w:t xml:space="preserve">Notifíquese: </w:t>
      </w:r>
      <w:proofErr w:type="spellStart"/>
      <w:r>
        <w:rPr>
          <w:sz w:val="22"/>
          <w:szCs w:val="22"/>
          <w:lang w:val="es-ES" w:eastAsia="es-ES"/>
        </w:rPr>
        <w:t>G</w:t>
      </w:r>
      <w:r w:rsidR="00673C04">
        <w:rPr>
          <w:sz w:val="22"/>
          <w:szCs w:val="22"/>
          <w:lang w:val="es-ES" w:eastAsia="es-ES"/>
        </w:rPr>
        <w:t>.D.Z.J</w:t>
      </w:r>
      <w:proofErr w:type="spellEnd"/>
      <w:r w:rsidR="00673C04">
        <w:rPr>
          <w:sz w:val="22"/>
          <w:szCs w:val="22"/>
          <w:lang w:val="es-ES" w:eastAsia="es-ES"/>
        </w:rPr>
        <w:t>.</w:t>
      </w:r>
      <w:r>
        <w:rPr>
          <w:sz w:val="22"/>
          <w:szCs w:val="22"/>
          <w:lang w:val="es-ES" w:eastAsia="es-ES"/>
        </w:rPr>
        <w:t xml:space="preserve"> al fax </w:t>
      </w:r>
      <w:proofErr w:type="spellStart"/>
      <w:r w:rsidR="00673C04">
        <w:rPr>
          <w:sz w:val="22"/>
          <w:szCs w:val="22"/>
          <w:lang w:val="es-ES" w:eastAsia="es-ES"/>
        </w:rPr>
        <w:t>XXXX</w:t>
      </w:r>
      <w:r>
        <w:rPr>
          <w:sz w:val="22"/>
          <w:szCs w:val="22"/>
          <w:lang w:val="es-ES" w:eastAsia="es-ES"/>
        </w:rPr>
        <w:t>-</w:t>
      </w:r>
      <w:r w:rsidR="00673C04">
        <w:rPr>
          <w:sz w:val="22"/>
          <w:szCs w:val="22"/>
          <w:lang w:val="es-ES" w:eastAsia="es-ES"/>
        </w:rPr>
        <w:t>XXXX</w:t>
      </w:r>
      <w:proofErr w:type="spellEnd"/>
      <w:r>
        <w:rPr>
          <w:sz w:val="22"/>
          <w:szCs w:val="22"/>
          <w:lang w:val="es-ES" w:eastAsia="es-ES"/>
        </w:rPr>
        <w:t xml:space="preserve"> </w:t>
      </w:r>
      <w:r w:rsidRPr="00673C04">
        <w:rPr>
          <w:b/>
          <w:sz w:val="22"/>
          <w:szCs w:val="22"/>
          <w:lang w:val="es-ES" w:eastAsia="es-ES"/>
        </w:rPr>
        <w:t xml:space="preserve">(ADJUNTAR COPIA DEL OFICIO </w:t>
      </w:r>
      <w:proofErr w:type="spellStart"/>
      <w:r w:rsidRPr="00673C04">
        <w:rPr>
          <w:b/>
          <w:sz w:val="22"/>
          <w:szCs w:val="22"/>
          <w:lang w:val="es-ES" w:eastAsia="es-ES"/>
        </w:rPr>
        <w:t>DAJ</w:t>
      </w:r>
      <w:proofErr w:type="spellEnd"/>
      <w:r w:rsidRPr="00673C04">
        <w:rPr>
          <w:b/>
          <w:sz w:val="22"/>
          <w:szCs w:val="22"/>
          <w:lang w:val="es-ES" w:eastAsia="es-ES"/>
        </w:rPr>
        <w:t xml:space="preserve"> 2017-001607)</w:t>
      </w:r>
      <w:r>
        <w:rPr>
          <w:sz w:val="22"/>
          <w:szCs w:val="22"/>
          <w:lang w:val="es-ES" w:eastAsia="es-ES"/>
        </w:rPr>
        <w:t xml:space="preserve">. (...)" (Léanse los folios del 24 al 28 del expediente </w:t>
      </w:r>
      <w:proofErr w:type="spellStart"/>
      <w:r>
        <w:rPr>
          <w:sz w:val="22"/>
          <w:szCs w:val="22"/>
          <w:lang w:val="es-ES" w:eastAsia="es-ES"/>
        </w:rPr>
        <w:t>TAT</w:t>
      </w:r>
      <w:proofErr w:type="spellEnd"/>
      <w:r>
        <w:rPr>
          <w:sz w:val="22"/>
          <w:szCs w:val="22"/>
          <w:lang w:val="es-ES" w:eastAsia="es-ES"/>
        </w:rPr>
        <w:t>-120-17)</w:t>
      </w:r>
    </w:p>
    <w:p w:rsidR="00480B34" w:rsidRDefault="002E05B4">
      <w:pPr>
        <w:kinsoku w:val="0"/>
        <w:overflowPunct w:val="0"/>
        <w:autoSpaceDE/>
        <w:autoSpaceDN/>
        <w:adjustRightInd/>
        <w:spacing w:before="251" w:line="307" w:lineRule="exact"/>
        <w:ind w:left="72"/>
        <w:jc w:val="both"/>
        <w:textAlignment w:val="baseline"/>
        <w:rPr>
          <w:spacing w:val="7"/>
          <w:sz w:val="22"/>
          <w:szCs w:val="22"/>
          <w:lang w:val="es-ES" w:eastAsia="es-ES"/>
        </w:rPr>
      </w:pPr>
      <w:r>
        <w:rPr>
          <w:spacing w:val="7"/>
          <w:sz w:val="22"/>
          <w:szCs w:val="22"/>
          <w:lang w:val="es-ES" w:eastAsia="es-ES"/>
        </w:rPr>
        <w:t xml:space="preserve">El acuerdo fue notificado, el </w:t>
      </w:r>
      <w:r>
        <w:rPr>
          <w:b/>
          <w:bCs/>
          <w:spacing w:val="7"/>
          <w:sz w:val="22"/>
          <w:szCs w:val="22"/>
          <w:lang w:val="es-ES" w:eastAsia="es-ES"/>
        </w:rPr>
        <w:t xml:space="preserve">26 de junio del 2017. </w:t>
      </w:r>
      <w:r>
        <w:rPr>
          <w:spacing w:val="7"/>
          <w:sz w:val="22"/>
          <w:szCs w:val="22"/>
          <w:lang w:val="es-ES" w:eastAsia="es-ES"/>
        </w:rPr>
        <w:t xml:space="preserve">(Léase el folio 25 del expediente </w:t>
      </w:r>
      <w:proofErr w:type="spellStart"/>
      <w:r>
        <w:rPr>
          <w:spacing w:val="7"/>
          <w:sz w:val="22"/>
          <w:szCs w:val="22"/>
          <w:lang w:val="es-ES" w:eastAsia="es-ES"/>
        </w:rPr>
        <w:t>TAT</w:t>
      </w:r>
      <w:proofErr w:type="spellEnd"/>
      <w:r>
        <w:rPr>
          <w:spacing w:val="7"/>
          <w:sz w:val="22"/>
          <w:szCs w:val="22"/>
          <w:lang w:val="es-ES" w:eastAsia="es-ES"/>
        </w:rPr>
        <w:t>-120-17)</w:t>
      </w:r>
    </w:p>
    <w:p w:rsidR="00480B34" w:rsidRDefault="002E05B4">
      <w:pPr>
        <w:kinsoku w:val="0"/>
        <w:overflowPunct w:val="0"/>
        <w:autoSpaceDE/>
        <w:autoSpaceDN/>
        <w:adjustRightInd/>
        <w:spacing w:before="352" w:after="705" w:line="317" w:lineRule="exact"/>
        <w:ind w:left="72"/>
        <w:jc w:val="both"/>
        <w:textAlignment w:val="baseline"/>
        <w:rPr>
          <w:b/>
          <w:bCs/>
          <w:spacing w:val="-2"/>
          <w:sz w:val="22"/>
          <w:szCs w:val="22"/>
          <w:lang w:val="es-ES" w:eastAsia="es-ES"/>
        </w:rPr>
      </w:pPr>
      <w:r>
        <w:rPr>
          <w:b/>
          <w:bCs/>
          <w:spacing w:val="-2"/>
          <w:sz w:val="22"/>
          <w:szCs w:val="22"/>
          <w:lang w:val="es-ES" w:eastAsia="es-ES"/>
        </w:rPr>
        <w:t xml:space="preserve">SEGUNDO. -El 27 de junio del 2017, </w:t>
      </w:r>
      <w:r>
        <w:rPr>
          <w:spacing w:val="-2"/>
          <w:sz w:val="22"/>
          <w:szCs w:val="22"/>
          <w:lang w:val="es-ES" w:eastAsia="es-ES"/>
        </w:rPr>
        <w:t xml:space="preserve">el señor </w:t>
      </w:r>
      <w:proofErr w:type="spellStart"/>
      <w:r w:rsidRPr="00673C04">
        <w:rPr>
          <w:b/>
          <w:spacing w:val="-2"/>
          <w:sz w:val="22"/>
          <w:szCs w:val="22"/>
          <w:lang w:val="es-ES" w:eastAsia="es-ES"/>
        </w:rPr>
        <w:t>G</w:t>
      </w:r>
      <w:r w:rsidR="00673C04">
        <w:rPr>
          <w:b/>
          <w:spacing w:val="-2"/>
          <w:sz w:val="22"/>
          <w:szCs w:val="22"/>
          <w:lang w:val="es-ES" w:eastAsia="es-ES"/>
        </w:rPr>
        <w:t>.D.Z.J</w:t>
      </w:r>
      <w:proofErr w:type="spellEnd"/>
      <w:r w:rsidR="00673C04">
        <w:rPr>
          <w:b/>
          <w:spacing w:val="-2"/>
          <w:sz w:val="22"/>
          <w:szCs w:val="22"/>
          <w:lang w:val="es-ES" w:eastAsia="es-ES"/>
        </w:rPr>
        <w:t>.</w:t>
      </w:r>
      <w:r>
        <w:rPr>
          <w:spacing w:val="-2"/>
          <w:sz w:val="22"/>
          <w:szCs w:val="22"/>
          <w:lang w:val="es-ES" w:eastAsia="es-ES"/>
        </w:rPr>
        <w:t xml:space="preserve">, interpone </w:t>
      </w:r>
      <w:r w:rsidRPr="00673C04">
        <w:rPr>
          <w:b/>
          <w:spacing w:val="-2"/>
          <w:sz w:val="22"/>
          <w:szCs w:val="22"/>
          <w:lang w:val="es-ES" w:eastAsia="es-ES"/>
        </w:rPr>
        <w:t>RECURSO DE APELACIÓN EN SUBSIDIO E INCIDENTES DE NULIDAD ABSOLUTA CONCOMITANTE Y SUSPENSIÓN DE LOS EFECTOS DEL ACTO</w:t>
      </w:r>
      <w:r>
        <w:rPr>
          <w:spacing w:val="-2"/>
          <w:sz w:val="22"/>
          <w:szCs w:val="22"/>
          <w:lang w:val="es-ES" w:eastAsia="es-ES"/>
        </w:rPr>
        <w:t xml:space="preserve">, contra el </w:t>
      </w:r>
      <w:r>
        <w:rPr>
          <w:b/>
          <w:bCs/>
          <w:spacing w:val="-2"/>
          <w:sz w:val="22"/>
          <w:szCs w:val="22"/>
          <w:lang w:val="es-ES" w:eastAsia="es-ES"/>
        </w:rPr>
        <w:t>Artículo 7.12 de la</w:t>
      </w:r>
    </w:p>
    <w:p w:rsidR="00480B34" w:rsidRDefault="00480B34">
      <w:pPr>
        <w:widowControl/>
        <w:rPr>
          <w:sz w:val="24"/>
          <w:szCs w:val="24"/>
        </w:rPr>
        <w:sectPr w:rsidR="00480B34">
          <w:pgSz w:w="12322" w:h="15763"/>
          <w:pgMar w:top="1417" w:right="1584" w:bottom="231" w:left="1718" w:header="720" w:footer="720" w:gutter="0"/>
          <w:cols w:space="720"/>
          <w:noEndnote/>
        </w:sectPr>
      </w:pPr>
    </w:p>
    <w:p w:rsidR="00480B34" w:rsidRDefault="00480B34">
      <w:pPr>
        <w:widowControl/>
        <w:rPr>
          <w:sz w:val="24"/>
          <w:szCs w:val="24"/>
        </w:rPr>
        <w:sectPr w:rsidR="00480B34">
          <w:type w:val="continuous"/>
          <w:pgSz w:w="12322" w:h="15763"/>
          <w:pgMar w:top="1417" w:right="1708" w:bottom="231" w:left="8414" w:header="720" w:footer="720" w:gutter="0"/>
          <w:cols w:space="720"/>
          <w:noEndnote/>
        </w:sectPr>
      </w:pPr>
    </w:p>
    <w:p w:rsidR="00480B34" w:rsidRDefault="002E05B4">
      <w:pPr>
        <w:kinsoku w:val="0"/>
        <w:overflowPunct w:val="0"/>
        <w:autoSpaceDE/>
        <w:autoSpaceDN/>
        <w:adjustRightInd/>
        <w:spacing w:before="3" w:line="301" w:lineRule="exact"/>
        <w:ind w:left="72" w:right="72"/>
        <w:jc w:val="both"/>
        <w:textAlignment w:val="baseline"/>
        <w:rPr>
          <w:sz w:val="21"/>
          <w:szCs w:val="21"/>
          <w:lang w:val="es-ES" w:eastAsia="es-ES"/>
        </w:rPr>
      </w:pPr>
      <w:r>
        <w:rPr>
          <w:b/>
          <w:bCs/>
          <w:sz w:val="21"/>
          <w:szCs w:val="21"/>
          <w:lang w:val="es-ES" w:eastAsia="es-ES"/>
        </w:rPr>
        <w:lastRenderedPageBreak/>
        <w:t xml:space="preserve">Sesión Ordinaria 25-2017, celebrada el 21 de junio del 2017, </w:t>
      </w:r>
      <w:r>
        <w:rPr>
          <w:sz w:val="21"/>
          <w:szCs w:val="21"/>
          <w:lang w:val="es-ES" w:eastAsia="es-ES"/>
        </w:rPr>
        <w:t>por la Junta Directiva del Consejo de Transporte, argumentando en resumen los siguiente:</w:t>
      </w:r>
    </w:p>
    <w:p w:rsidR="00480B34" w:rsidRDefault="002E05B4">
      <w:pPr>
        <w:numPr>
          <w:ilvl w:val="0"/>
          <w:numId w:val="2"/>
        </w:numPr>
        <w:kinsoku w:val="0"/>
        <w:overflowPunct w:val="0"/>
        <w:autoSpaceDE/>
        <w:autoSpaceDN/>
        <w:adjustRightInd/>
        <w:spacing w:before="363" w:line="243" w:lineRule="exact"/>
        <w:ind w:right="72"/>
        <w:jc w:val="both"/>
        <w:textAlignment w:val="baseline"/>
        <w:rPr>
          <w:sz w:val="21"/>
          <w:szCs w:val="21"/>
          <w:lang w:val="es-ES" w:eastAsia="es-ES"/>
        </w:rPr>
      </w:pPr>
      <w:r>
        <w:rPr>
          <w:sz w:val="21"/>
          <w:szCs w:val="21"/>
          <w:lang w:val="es-ES" w:eastAsia="es-ES"/>
        </w:rPr>
        <w:t>Refiere que ahora se dispone la cancelación de la concesión porque no pidió desde el 2015 una cita para firmar el contrato de concesión, que era pertinente al haber recibido la misma concesión en traspaso de su concesionario original, y para colmo se le inicia un procedimiento para cancelar la concesión.</w:t>
      </w:r>
    </w:p>
    <w:p w:rsidR="00480B34" w:rsidRDefault="002E05B4">
      <w:pPr>
        <w:numPr>
          <w:ilvl w:val="0"/>
          <w:numId w:val="2"/>
        </w:numPr>
        <w:kinsoku w:val="0"/>
        <w:overflowPunct w:val="0"/>
        <w:autoSpaceDE/>
        <w:autoSpaceDN/>
        <w:adjustRightInd/>
        <w:spacing w:before="287" w:line="252" w:lineRule="exact"/>
        <w:ind w:right="72"/>
        <w:jc w:val="both"/>
        <w:textAlignment w:val="baseline"/>
        <w:rPr>
          <w:sz w:val="21"/>
          <w:szCs w:val="21"/>
          <w:lang w:val="es-ES" w:eastAsia="es-ES"/>
        </w:rPr>
      </w:pPr>
      <w:r>
        <w:rPr>
          <w:sz w:val="21"/>
          <w:szCs w:val="21"/>
          <w:lang w:val="es-ES" w:eastAsia="es-ES"/>
        </w:rPr>
        <w:t>Indica que la ley no indica que deba firmar un nuevo contrato o adendum, lo cierto es que firmó en escritura pública la cesión lo cual es más que suficiente. Que cuando se da una cesión, el cesionario asume el contrato precedente, hasta su finalización, no es necesaria la firma de ningún contrato nuevo, el cual solo sería redundancia innecesaria y no regulada.</w:t>
      </w:r>
    </w:p>
    <w:p w:rsidR="00480B34" w:rsidRDefault="002E05B4">
      <w:pPr>
        <w:numPr>
          <w:ilvl w:val="0"/>
          <w:numId w:val="2"/>
        </w:numPr>
        <w:kinsoku w:val="0"/>
        <w:overflowPunct w:val="0"/>
        <w:autoSpaceDE/>
        <w:autoSpaceDN/>
        <w:adjustRightInd/>
        <w:spacing w:before="250" w:line="249" w:lineRule="exact"/>
        <w:ind w:right="72"/>
        <w:jc w:val="both"/>
        <w:textAlignment w:val="baseline"/>
        <w:rPr>
          <w:sz w:val="21"/>
          <w:szCs w:val="21"/>
          <w:lang w:val="es-ES" w:eastAsia="es-ES"/>
        </w:rPr>
      </w:pPr>
      <w:r>
        <w:rPr>
          <w:sz w:val="21"/>
          <w:szCs w:val="21"/>
          <w:lang w:val="es-ES" w:eastAsia="es-ES"/>
        </w:rPr>
        <w:t>Se habla de pedir una cita para formalizar la concesión, y este requisito se pregunta dónde está regulado, pues si los mismos no se publican no existen. No es cierto que no cumpliera con la formalización, pues en el acuerdo 7.3 de la Sesión Ordinaria 13-2007 del 15 de febrero del 2017, referente a los procedimientos, regulaciones y requisitos para solicitar autorización previa del Consejo para ceder el contrato de concesión mediante escritura pública, nunca se menciona que deba pedir una cita.</w:t>
      </w:r>
    </w:p>
    <w:p w:rsidR="00480B34" w:rsidRDefault="002E05B4">
      <w:pPr>
        <w:numPr>
          <w:ilvl w:val="0"/>
          <w:numId w:val="2"/>
        </w:numPr>
        <w:kinsoku w:val="0"/>
        <w:overflowPunct w:val="0"/>
        <w:autoSpaceDE/>
        <w:autoSpaceDN/>
        <w:adjustRightInd/>
        <w:spacing w:before="274" w:line="243" w:lineRule="exact"/>
        <w:ind w:right="72"/>
        <w:jc w:val="both"/>
        <w:textAlignment w:val="baseline"/>
        <w:rPr>
          <w:sz w:val="21"/>
          <w:szCs w:val="21"/>
          <w:lang w:val="es-ES" w:eastAsia="es-ES"/>
        </w:rPr>
      </w:pPr>
      <w:r>
        <w:rPr>
          <w:sz w:val="21"/>
          <w:szCs w:val="21"/>
          <w:lang w:val="es-ES" w:eastAsia="es-ES"/>
        </w:rPr>
        <w:t>Refiere que la adjudicación es el acto final de un procedimiento formal de contratación pública, el cual no aplica, no se da en traspasos de concesiones.</w:t>
      </w:r>
    </w:p>
    <w:p w:rsidR="00480B34" w:rsidRDefault="002E05B4">
      <w:pPr>
        <w:numPr>
          <w:ilvl w:val="0"/>
          <w:numId w:val="2"/>
        </w:numPr>
        <w:kinsoku w:val="0"/>
        <w:overflowPunct w:val="0"/>
        <w:autoSpaceDE/>
        <w:autoSpaceDN/>
        <w:adjustRightInd/>
        <w:spacing w:before="274" w:line="248" w:lineRule="exact"/>
        <w:ind w:right="72"/>
        <w:jc w:val="both"/>
        <w:textAlignment w:val="baseline"/>
        <w:rPr>
          <w:sz w:val="21"/>
          <w:szCs w:val="21"/>
          <w:lang w:val="es-ES" w:eastAsia="es-ES"/>
        </w:rPr>
      </w:pPr>
      <w:r>
        <w:rPr>
          <w:sz w:val="21"/>
          <w:szCs w:val="21"/>
          <w:lang w:val="es-ES" w:eastAsia="es-ES"/>
        </w:rPr>
        <w:t>Indica que, en el ámbito de la administración pública, cuando es necesario firmar un contrato o adendum, es la Administración la que fija el momento, no la parte.</w:t>
      </w:r>
    </w:p>
    <w:p w:rsidR="00480B34" w:rsidRDefault="002E05B4">
      <w:pPr>
        <w:kinsoku w:val="0"/>
        <w:overflowPunct w:val="0"/>
        <w:autoSpaceDE/>
        <w:autoSpaceDN/>
        <w:adjustRightInd/>
        <w:spacing w:before="249" w:line="252" w:lineRule="exact"/>
        <w:ind w:left="432" w:right="72" w:hanging="360"/>
        <w:jc w:val="both"/>
        <w:textAlignment w:val="baseline"/>
        <w:rPr>
          <w:spacing w:val="4"/>
          <w:sz w:val="21"/>
          <w:szCs w:val="21"/>
          <w:lang w:val="es-ES" w:eastAsia="es-ES"/>
        </w:rPr>
      </w:pPr>
      <w:r>
        <w:rPr>
          <w:spacing w:val="4"/>
          <w:sz w:val="21"/>
          <w:szCs w:val="21"/>
          <w:lang w:val="es-ES" w:eastAsia="es-ES"/>
        </w:rPr>
        <w:t xml:space="preserve">O Expresa que acudió a las viejas oficinas del </w:t>
      </w:r>
      <w:proofErr w:type="spellStart"/>
      <w:r>
        <w:rPr>
          <w:spacing w:val="4"/>
          <w:sz w:val="21"/>
          <w:szCs w:val="21"/>
          <w:lang w:val="es-ES" w:eastAsia="es-ES"/>
        </w:rPr>
        <w:t>CTP</w:t>
      </w:r>
      <w:proofErr w:type="spellEnd"/>
      <w:r>
        <w:rPr>
          <w:spacing w:val="4"/>
          <w:sz w:val="21"/>
          <w:szCs w:val="21"/>
          <w:lang w:val="es-ES" w:eastAsia="es-ES"/>
        </w:rPr>
        <w:t xml:space="preserve"> a ver si tenía que hacer algo más, pero la funcionaria llamada Cindy le dijo que no, que bastaba con el acuerdo de traspaso y la formalización que yo había presentado, de ahí que estima hay dos vicios de motivación, legalidad y/o tipicidad en lo actuado; en el artículo 42 de la Ley 7969.</w:t>
      </w:r>
    </w:p>
    <w:p w:rsidR="00480B34" w:rsidRDefault="002E05B4">
      <w:pPr>
        <w:numPr>
          <w:ilvl w:val="0"/>
          <w:numId w:val="3"/>
        </w:numPr>
        <w:kinsoku w:val="0"/>
        <w:overflowPunct w:val="0"/>
        <w:autoSpaceDE/>
        <w:autoSpaceDN/>
        <w:adjustRightInd/>
        <w:spacing w:before="266" w:line="245" w:lineRule="exact"/>
        <w:ind w:right="72"/>
        <w:jc w:val="both"/>
        <w:textAlignment w:val="baseline"/>
        <w:rPr>
          <w:sz w:val="21"/>
          <w:szCs w:val="21"/>
          <w:lang w:val="es-ES" w:eastAsia="es-ES"/>
        </w:rPr>
      </w:pPr>
      <w:r>
        <w:rPr>
          <w:sz w:val="21"/>
          <w:szCs w:val="21"/>
          <w:lang w:val="es-ES" w:eastAsia="es-ES"/>
        </w:rPr>
        <w:t xml:space="preserve">Alega que en el acuerdo 7.2.1 de la Sesión Ordinaria 54-2016 del 28 de octubre, el Consejo, en virtud del carácter social de las concesiones, se le dio una nueva oportunidad a la </w:t>
      </w:r>
      <w:proofErr w:type="spellStart"/>
      <w:r>
        <w:rPr>
          <w:sz w:val="21"/>
          <w:szCs w:val="21"/>
          <w:lang w:val="es-ES" w:eastAsia="es-ES"/>
        </w:rPr>
        <w:t>petente</w:t>
      </w:r>
      <w:proofErr w:type="spellEnd"/>
      <w:r>
        <w:rPr>
          <w:sz w:val="21"/>
          <w:szCs w:val="21"/>
          <w:lang w:val="es-ES" w:eastAsia="es-ES"/>
        </w:rPr>
        <w:t xml:space="preserve"> para formalizar la concesión y hacer el cambio de unidad; ante lo cual estima aplica el principio de igualdad formal y material ante la ley.</w:t>
      </w:r>
    </w:p>
    <w:p w:rsidR="00480B34" w:rsidRDefault="002E05B4">
      <w:pPr>
        <w:numPr>
          <w:ilvl w:val="0"/>
          <w:numId w:val="3"/>
        </w:numPr>
        <w:kinsoku w:val="0"/>
        <w:overflowPunct w:val="0"/>
        <w:autoSpaceDE/>
        <w:autoSpaceDN/>
        <w:adjustRightInd/>
        <w:spacing w:before="257" w:line="252" w:lineRule="exact"/>
        <w:ind w:right="72"/>
        <w:jc w:val="both"/>
        <w:textAlignment w:val="baseline"/>
        <w:rPr>
          <w:sz w:val="21"/>
          <w:szCs w:val="21"/>
          <w:lang w:val="es-ES" w:eastAsia="es-ES"/>
        </w:rPr>
      </w:pPr>
      <w:r>
        <w:rPr>
          <w:sz w:val="21"/>
          <w:szCs w:val="21"/>
          <w:lang w:val="es-ES" w:eastAsia="es-ES"/>
        </w:rPr>
        <w:t>En cuanto a la suspensión, alega que en el acuerdo 4.2 de la Sesión Ordinaria 75-2009 del 12 de noviembre del 2009, en el punto 3 se dispone que, en los casos de cancelación de concesiones de taxi, no se ejecute el acuerdo hasta que todos los recursos hayan sido resueltos, siendo que estima que el suyo es un caso así, requiere la suspensión de los efectos del acto impugnado.</w:t>
      </w:r>
    </w:p>
    <w:p w:rsidR="00480B34" w:rsidRDefault="002E05B4">
      <w:pPr>
        <w:numPr>
          <w:ilvl w:val="0"/>
          <w:numId w:val="3"/>
        </w:numPr>
        <w:kinsoku w:val="0"/>
        <w:overflowPunct w:val="0"/>
        <w:autoSpaceDE/>
        <w:autoSpaceDN/>
        <w:adjustRightInd/>
        <w:spacing w:before="248" w:line="257" w:lineRule="exact"/>
        <w:ind w:right="72"/>
        <w:jc w:val="both"/>
        <w:textAlignment w:val="baseline"/>
        <w:rPr>
          <w:sz w:val="21"/>
          <w:szCs w:val="21"/>
          <w:lang w:val="es-ES" w:eastAsia="es-ES"/>
        </w:rPr>
      </w:pPr>
      <w:r>
        <w:rPr>
          <w:sz w:val="21"/>
          <w:szCs w:val="21"/>
          <w:lang w:val="es-ES" w:eastAsia="es-ES"/>
        </w:rPr>
        <w:t xml:space="preserve">Peticiona se revise el proceder, se revoque y/o anule el acto objetado, considerándose al efecto lo expuesto, se autorice el cambio de unidad solicitado desde noviembre del año 2016 y se levante cualquier procedimiento fijado en contra de la concesión. (Léanse los folios del 8 al 23 del expediente administrativo </w:t>
      </w:r>
      <w:proofErr w:type="spellStart"/>
      <w:r>
        <w:rPr>
          <w:sz w:val="21"/>
          <w:szCs w:val="21"/>
          <w:lang w:val="es-ES" w:eastAsia="es-ES"/>
        </w:rPr>
        <w:t>TAT</w:t>
      </w:r>
      <w:proofErr w:type="spellEnd"/>
      <w:r>
        <w:rPr>
          <w:sz w:val="21"/>
          <w:szCs w:val="21"/>
          <w:lang w:val="es-ES" w:eastAsia="es-ES"/>
        </w:rPr>
        <w:t>-120-17)</w:t>
      </w:r>
    </w:p>
    <w:p w:rsidR="00480B34" w:rsidRDefault="002E05B4">
      <w:pPr>
        <w:kinsoku w:val="0"/>
        <w:overflowPunct w:val="0"/>
        <w:autoSpaceDE/>
        <w:autoSpaceDN/>
        <w:adjustRightInd/>
        <w:spacing w:before="239" w:after="716" w:line="320" w:lineRule="exact"/>
        <w:ind w:left="72" w:right="72"/>
        <w:jc w:val="both"/>
        <w:textAlignment w:val="baseline"/>
        <w:rPr>
          <w:spacing w:val="13"/>
          <w:sz w:val="21"/>
          <w:szCs w:val="21"/>
          <w:lang w:val="es-ES" w:eastAsia="es-ES"/>
        </w:rPr>
      </w:pPr>
      <w:r>
        <w:rPr>
          <w:b/>
          <w:bCs/>
          <w:spacing w:val="13"/>
          <w:sz w:val="21"/>
          <w:szCs w:val="21"/>
          <w:lang w:val="es-ES" w:eastAsia="es-ES"/>
        </w:rPr>
        <w:t xml:space="preserve">TERCERO. </w:t>
      </w:r>
      <w:r>
        <w:rPr>
          <w:spacing w:val="13"/>
          <w:sz w:val="21"/>
          <w:szCs w:val="21"/>
          <w:lang w:val="es-ES" w:eastAsia="es-ES"/>
        </w:rPr>
        <w:t xml:space="preserve">La Junta Directiva del Consejo de Transporte Público en el </w:t>
      </w:r>
      <w:r>
        <w:rPr>
          <w:b/>
          <w:bCs/>
          <w:spacing w:val="13"/>
          <w:sz w:val="21"/>
          <w:szCs w:val="21"/>
          <w:lang w:val="es-ES" w:eastAsia="es-ES"/>
        </w:rPr>
        <w:t xml:space="preserve">Artículo 7.4.6 de la Sesión Ordinaria 38-2017 del 4 de octubre del 2017 </w:t>
      </w:r>
      <w:r>
        <w:rPr>
          <w:spacing w:val="13"/>
          <w:sz w:val="21"/>
          <w:szCs w:val="21"/>
          <w:lang w:val="es-ES" w:eastAsia="es-ES"/>
        </w:rPr>
        <w:t xml:space="preserve">conoció el recurso de revocatoria y sus incidencias, acogió las recomendaciones del informe </w:t>
      </w:r>
      <w:proofErr w:type="spellStart"/>
      <w:r>
        <w:rPr>
          <w:spacing w:val="13"/>
          <w:sz w:val="21"/>
          <w:szCs w:val="21"/>
          <w:lang w:val="es-ES" w:eastAsia="es-ES"/>
        </w:rPr>
        <w:t>DAJ</w:t>
      </w:r>
      <w:proofErr w:type="spellEnd"/>
      <w:r>
        <w:rPr>
          <w:spacing w:val="13"/>
          <w:sz w:val="21"/>
          <w:szCs w:val="21"/>
          <w:lang w:val="es-ES" w:eastAsia="es-ES"/>
        </w:rPr>
        <w:t>-2017-002415 del 21 de</w:t>
      </w:r>
    </w:p>
    <w:p w:rsidR="00480B34" w:rsidRDefault="00480B34">
      <w:pPr>
        <w:widowControl/>
        <w:rPr>
          <w:sz w:val="24"/>
          <w:szCs w:val="24"/>
        </w:rPr>
        <w:sectPr w:rsidR="00480B34">
          <w:pgSz w:w="12322" w:h="15763"/>
          <w:pgMar w:top="1320" w:right="1636" w:bottom="307" w:left="1666" w:header="720" w:footer="720" w:gutter="0"/>
          <w:cols w:space="720"/>
          <w:noEndnote/>
        </w:sectPr>
      </w:pPr>
    </w:p>
    <w:p w:rsidR="00480B34" w:rsidRDefault="00480B34">
      <w:pPr>
        <w:widowControl/>
        <w:rPr>
          <w:sz w:val="24"/>
          <w:szCs w:val="24"/>
        </w:rPr>
        <w:sectPr w:rsidR="00480B34">
          <w:type w:val="continuous"/>
          <w:pgSz w:w="12322" w:h="15763"/>
          <w:pgMar w:top="1320" w:right="1808" w:bottom="307" w:left="8294" w:header="720" w:footer="720" w:gutter="0"/>
          <w:cols w:space="720"/>
          <w:noEndnote/>
        </w:sectPr>
      </w:pPr>
    </w:p>
    <w:p w:rsidR="00480B34" w:rsidRDefault="002E05B4">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lastRenderedPageBreak/>
        <w:t>setiembre del 2017, emitido por la Dirección de Asuntos Jurídicos; y en consecuencia rechazó por improcedente el recurso de revocatoria e incidencias contra un acto administrativo preparatorio, y se elevó el Recurso de Apelación ante el Tribunal Administrativo de Transporte.</w:t>
      </w:r>
    </w:p>
    <w:p w:rsidR="00480B34" w:rsidRDefault="002E05B4">
      <w:pPr>
        <w:kinsoku w:val="0"/>
        <w:overflowPunct w:val="0"/>
        <w:autoSpaceDE/>
        <w:autoSpaceDN/>
        <w:adjustRightInd/>
        <w:spacing w:before="356" w:line="271" w:lineRule="exact"/>
        <w:ind w:left="72" w:right="72"/>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 han seguido las prescripciones de ley.</w:t>
      </w:r>
    </w:p>
    <w:p w:rsidR="00480B34" w:rsidRDefault="002E05B4">
      <w:pPr>
        <w:kinsoku w:val="0"/>
        <w:overflowPunct w:val="0"/>
        <w:autoSpaceDE/>
        <w:autoSpaceDN/>
        <w:adjustRightInd/>
        <w:spacing w:before="360" w:line="277" w:lineRule="exact"/>
        <w:ind w:left="72" w:right="72"/>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480B34" w:rsidRDefault="002E05B4">
      <w:pPr>
        <w:kinsoku w:val="0"/>
        <w:overflowPunct w:val="0"/>
        <w:autoSpaceDE/>
        <w:autoSpaceDN/>
        <w:adjustRightInd/>
        <w:spacing w:before="310" w:line="335" w:lineRule="exact"/>
        <w:ind w:left="72" w:right="72"/>
        <w:jc w:val="center"/>
        <w:textAlignment w:val="baseline"/>
        <w:rPr>
          <w:b/>
          <w:bCs/>
          <w:sz w:val="24"/>
          <w:szCs w:val="24"/>
          <w:lang w:val="es-ES" w:eastAsia="es-ES"/>
        </w:rPr>
      </w:pPr>
      <w:r>
        <w:rPr>
          <w:b/>
          <w:bCs/>
          <w:sz w:val="24"/>
          <w:szCs w:val="24"/>
          <w:lang w:val="es-ES" w:eastAsia="es-ES"/>
        </w:rPr>
        <w:t>CONSIDERANDO ÚNICO</w:t>
      </w:r>
    </w:p>
    <w:p w:rsidR="00480B34" w:rsidRDefault="002E05B4">
      <w:pPr>
        <w:kinsoku w:val="0"/>
        <w:overflowPunct w:val="0"/>
        <w:autoSpaceDE/>
        <w:autoSpaceDN/>
        <w:adjustRightInd/>
        <w:spacing w:before="268" w:line="317" w:lineRule="exact"/>
        <w:ind w:left="72" w:right="72"/>
        <w:jc w:val="both"/>
        <w:textAlignment w:val="baseline"/>
        <w:rPr>
          <w:sz w:val="24"/>
          <w:szCs w:val="24"/>
          <w:lang w:val="es-ES" w:eastAsia="es-ES"/>
        </w:rPr>
      </w:pPr>
      <w:r>
        <w:rPr>
          <w:sz w:val="24"/>
          <w:szCs w:val="24"/>
          <w:lang w:val="es-ES" w:eastAsia="es-ES"/>
        </w:rPr>
        <w:t>El Tribunal Administrativo de Transporte es el competente para conocer los recursos de apelación de conformidad con el artículo 22 de la Ley Reguladora del Servicio Público de Transporte Remunerado de Personas en Vehículos en la Modalidad de Taxi N. 7969 del 22 de diciembre de 1999, en concordancia con el Libro Segundo de la Ley General de la Administración Pública N. 6227.</w:t>
      </w:r>
    </w:p>
    <w:p w:rsidR="00480B34" w:rsidRDefault="002E05B4">
      <w:pPr>
        <w:kinsoku w:val="0"/>
        <w:overflowPunct w:val="0"/>
        <w:autoSpaceDE/>
        <w:autoSpaceDN/>
        <w:adjustRightInd/>
        <w:spacing w:before="327" w:line="317" w:lineRule="exact"/>
        <w:ind w:left="72" w:right="72"/>
        <w:jc w:val="both"/>
        <w:textAlignment w:val="baseline"/>
        <w:rPr>
          <w:sz w:val="24"/>
          <w:szCs w:val="24"/>
          <w:lang w:val="es-ES" w:eastAsia="es-ES"/>
        </w:rPr>
      </w:pPr>
      <w:r>
        <w:rPr>
          <w:sz w:val="24"/>
          <w:szCs w:val="24"/>
          <w:lang w:val="es-ES" w:eastAsia="es-ES"/>
        </w:rPr>
        <w:t>Ahora bien,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w:t>
      </w:r>
    </w:p>
    <w:p w:rsidR="00480B34" w:rsidRDefault="002E05B4">
      <w:pPr>
        <w:kinsoku w:val="0"/>
        <w:overflowPunct w:val="0"/>
        <w:autoSpaceDE/>
        <w:autoSpaceDN/>
        <w:adjustRightInd/>
        <w:spacing w:before="281" w:line="317" w:lineRule="exact"/>
        <w:ind w:left="72" w:right="72"/>
        <w:jc w:val="both"/>
        <w:textAlignment w:val="baseline"/>
        <w:rPr>
          <w:spacing w:val="1"/>
          <w:sz w:val="24"/>
          <w:szCs w:val="24"/>
          <w:lang w:val="es-ES" w:eastAsia="es-ES"/>
        </w:rPr>
      </w:pPr>
      <w:r>
        <w:rPr>
          <w:spacing w:val="1"/>
          <w:sz w:val="24"/>
          <w:szCs w:val="24"/>
          <w:lang w:val="es-ES" w:eastAsia="es-ES"/>
        </w:rPr>
        <w:t xml:space="preserve">Este Tribunal Administrativo de Transporte, con base en el estudio del expediente, ha verificado que el </w:t>
      </w:r>
      <w:r>
        <w:rPr>
          <w:b/>
          <w:bCs/>
          <w:spacing w:val="1"/>
          <w:sz w:val="24"/>
          <w:szCs w:val="24"/>
          <w:lang w:val="es-ES" w:eastAsia="es-ES"/>
        </w:rPr>
        <w:t xml:space="preserve">Artículo 7.12 de la Sesión Ordinaria 25-2017, celebrada el 21 de junio del 2017, </w:t>
      </w:r>
      <w:r>
        <w:rPr>
          <w:spacing w:val="1"/>
          <w:sz w:val="24"/>
          <w:szCs w:val="24"/>
          <w:lang w:val="es-ES" w:eastAsia="es-ES"/>
        </w:rPr>
        <w:t xml:space="preserve">emitido por la Junta Directiva del Consejo de Transporte Público, refiere, a medidas tomadas por la Junta Directiva del Consejo de Transporte Público, en el ejercicio de sus facultades de fiscalización y control, y en cuanto a la comisión para que la Dirección de Asuntos Jurídicos del Consejo de Transporte Público inicie el procedimiento administrativo referente a lo indicado en informe </w:t>
      </w:r>
      <w:proofErr w:type="spellStart"/>
      <w:r>
        <w:rPr>
          <w:spacing w:val="1"/>
          <w:sz w:val="24"/>
          <w:szCs w:val="24"/>
          <w:lang w:val="es-ES" w:eastAsia="es-ES"/>
        </w:rPr>
        <w:t>DAJ</w:t>
      </w:r>
      <w:proofErr w:type="spellEnd"/>
      <w:r>
        <w:rPr>
          <w:spacing w:val="1"/>
          <w:sz w:val="24"/>
          <w:szCs w:val="24"/>
          <w:lang w:val="es-ES" w:eastAsia="es-ES"/>
        </w:rPr>
        <w:t>-2017-001607 del 19 de junio del 2017, emitido por la Dirección de Asuntos Jurídicos; a fin de determinar la verdad real de los hechos, por lo que se está ante una fase preliminar, preparatoria al procedimiento ordinario.</w:t>
      </w:r>
    </w:p>
    <w:p w:rsidR="00480B34" w:rsidRDefault="002E05B4">
      <w:pPr>
        <w:kinsoku w:val="0"/>
        <w:overflowPunct w:val="0"/>
        <w:autoSpaceDE/>
        <w:autoSpaceDN/>
        <w:adjustRightInd/>
        <w:spacing w:before="331" w:after="1207" w:line="317" w:lineRule="exact"/>
        <w:ind w:left="72" w:right="72"/>
        <w:jc w:val="both"/>
        <w:textAlignment w:val="baseline"/>
        <w:rPr>
          <w:spacing w:val="1"/>
          <w:sz w:val="24"/>
          <w:szCs w:val="24"/>
          <w:lang w:val="es-ES" w:eastAsia="es-ES"/>
        </w:rPr>
      </w:pPr>
      <w:r>
        <w:rPr>
          <w:spacing w:val="1"/>
          <w:sz w:val="24"/>
          <w:szCs w:val="24"/>
          <w:lang w:val="es-ES" w:eastAsia="es-ES"/>
        </w:rPr>
        <w:t xml:space="preserve">Respecto a la impugnación de los actos de trámite o preparatorios el Tribunal Contencioso Administrativo, mediante Sentencia </w:t>
      </w:r>
      <w:proofErr w:type="spellStart"/>
      <w:r>
        <w:rPr>
          <w:spacing w:val="1"/>
          <w:sz w:val="24"/>
          <w:szCs w:val="24"/>
          <w:lang w:val="es-ES" w:eastAsia="es-ES"/>
        </w:rPr>
        <w:t>N°</w:t>
      </w:r>
      <w:proofErr w:type="spellEnd"/>
      <w:r>
        <w:rPr>
          <w:spacing w:val="1"/>
          <w:sz w:val="24"/>
          <w:szCs w:val="24"/>
          <w:lang w:val="es-ES" w:eastAsia="es-ES"/>
        </w:rPr>
        <w:t xml:space="preserve"> 237, de las quince horas del veinticinco de agosto del dos mil, señaló que estos se impugnan solo con el acto definitivo, en los siguientes términos:</w:t>
      </w:r>
    </w:p>
    <w:p w:rsidR="00480B34" w:rsidRDefault="00480B34">
      <w:pPr>
        <w:widowControl/>
        <w:rPr>
          <w:sz w:val="24"/>
          <w:szCs w:val="24"/>
        </w:rPr>
        <w:sectPr w:rsidR="00480B34">
          <w:pgSz w:w="12326" w:h="15744"/>
          <w:pgMar w:top="1417" w:right="1549" w:bottom="232" w:left="1757" w:header="720" w:footer="720" w:gutter="0"/>
          <w:cols w:space="720"/>
          <w:noEndnote/>
        </w:sectPr>
      </w:pPr>
    </w:p>
    <w:p w:rsidR="00480B34" w:rsidRDefault="00480B34">
      <w:pPr>
        <w:widowControl/>
        <w:rPr>
          <w:sz w:val="24"/>
          <w:szCs w:val="24"/>
        </w:rPr>
        <w:sectPr w:rsidR="00480B34">
          <w:type w:val="continuous"/>
          <w:pgSz w:w="12326" w:h="15744"/>
          <w:pgMar w:top="1417" w:right="1700" w:bottom="232" w:left="8406" w:header="720" w:footer="720" w:gutter="0"/>
          <w:cols w:space="720"/>
          <w:noEndnote/>
        </w:sectPr>
      </w:pPr>
    </w:p>
    <w:p w:rsidR="00480B34" w:rsidRDefault="002E05B4">
      <w:pPr>
        <w:kinsoku w:val="0"/>
        <w:overflowPunct w:val="0"/>
        <w:autoSpaceDE/>
        <w:autoSpaceDN/>
        <w:adjustRightInd/>
        <w:spacing w:before="22" w:line="228" w:lineRule="exact"/>
        <w:ind w:left="576" w:right="720"/>
        <w:jc w:val="both"/>
        <w:textAlignment w:val="baseline"/>
        <w:rPr>
          <w:lang w:val="es-ES" w:eastAsia="es-ES"/>
        </w:rPr>
      </w:pPr>
      <w:r>
        <w:rPr>
          <w:lang w:val="es-ES" w:eastAsia="es-ES"/>
        </w:rPr>
        <w:lastRenderedPageBreak/>
        <w:t>"Los actos preparatorios son antecedentes de la resolución final, trámites del procedimiento administrativo que no tienen la virtud de decidir sobre el objeto f</w:t>
      </w:r>
      <w:r w:rsidR="00673C04">
        <w:rPr>
          <w:lang w:val="es-ES" w:eastAsia="es-ES"/>
        </w:rPr>
        <w:t>in</w:t>
      </w:r>
      <w:r>
        <w:rPr>
          <w:lang w:val="es-ES" w:eastAsia="es-ES"/>
        </w:rPr>
        <w:t>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w:t>
      </w:r>
      <w:r w:rsidR="00673C04">
        <w:rPr>
          <w:lang w:val="es-ES" w:eastAsia="es-ES"/>
        </w:rPr>
        <w:t>in</w:t>
      </w:r>
      <w:r>
        <w:rPr>
          <w:lang w:val="es-ES" w:eastAsia="es-ES"/>
        </w:rPr>
        <w:t>al ni con efecto propio, a diferencia del recurrente, este Tribunal considera que las normas aplicabl</w:t>
      </w:r>
      <w:r w:rsidR="00673C04">
        <w:rPr>
          <w:lang w:val="es-ES" w:eastAsia="es-ES"/>
        </w:rPr>
        <w:t>e</w:t>
      </w:r>
      <w:r>
        <w:rPr>
          <w:lang w:val="es-ES" w:eastAsia="es-ES"/>
        </w:rPr>
        <w:t xml:space="preserve">s y que por su especialidad revisten mayor valor e ineludible aplicación son: 1) el inciso 2 del artículo 163 Ley General de la Administración Pública, que terminantemente exige que </w:t>
      </w:r>
      <w:r>
        <w:rPr>
          <w:u w:val="single"/>
          <w:lang w:val="es-ES" w:eastAsia="es-ES"/>
        </w:rPr>
        <w:t>los vicios propios de los actos preparatorios se han de impugnar conjuntamente con el acto final,</w:t>
      </w:r>
      <w:r>
        <w:rPr>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480B34" w:rsidRDefault="002E05B4">
      <w:pPr>
        <w:kinsoku w:val="0"/>
        <w:overflowPunct w:val="0"/>
        <w:autoSpaceDE/>
        <w:autoSpaceDN/>
        <w:adjustRightInd/>
        <w:spacing w:before="223" w:line="318" w:lineRule="exact"/>
        <w:ind w:left="72" w:right="144"/>
        <w:jc w:val="both"/>
        <w:textAlignment w:val="baseline"/>
        <w:rPr>
          <w:spacing w:val="4"/>
          <w:sz w:val="23"/>
          <w:szCs w:val="23"/>
          <w:lang w:val="es-ES" w:eastAsia="es-ES"/>
        </w:rPr>
      </w:pPr>
      <w:r>
        <w:rPr>
          <w:spacing w:val="4"/>
          <w:sz w:val="23"/>
          <w:szCs w:val="23"/>
          <w:lang w:val="es-ES" w:eastAsia="es-ES"/>
        </w:rPr>
        <w:t>Se tiene entonces que, el recurrente, ha interpuesto el recurso de apelación en subsidio y sus incidencias contra la decisión de la Junta Directiva del Consejo de Transporte Público, que ordena la apertura de procedimiento ordinario. De conformidad con lo establecido en al artículo 345 párrafo 1, de la Ley N. 6227, la decisión de investigar de la 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y sus incidencias deben ser rechazados, por ser jurídicamente improcedentes.</w:t>
      </w:r>
    </w:p>
    <w:p w:rsidR="00480B34" w:rsidRDefault="002E05B4">
      <w:pPr>
        <w:kinsoku w:val="0"/>
        <w:overflowPunct w:val="0"/>
        <w:autoSpaceDE/>
        <w:autoSpaceDN/>
        <w:adjustRightInd/>
        <w:spacing w:before="299" w:line="318" w:lineRule="exact"/>
        <w:ind w:left="72" w:right="144"/>
        <w:jc w:val="both"/>
        <w:textAlignment w:val="baseline"/>
        <w:rPr>
          <w:sz w:val="23"/>
          <w:szCs w:val="23"/>
          <w:lang w:val="es-ES" w:eastAsia="es-ES"/>
        </w:rPr>
      </w:pPr>
      <w:r>
        <w:rPr>
          <w:sz w:val="23"/>
          <w:szCs w:val="23"/>
          <w:lang w:val="es-ES" w:eastAsia="es-ES"/>
        </w:rPr>
        <w:t>En cuanto a la nulidad alegada, este Tribunal no estima en lo actuado por el Consejo de Transporte Público, vicio alguno en cuanto a la constitución de los elementos sustanciales y formales del que pueda resultar la nulidad del acto impugnado, ni infracción al debido procedimiento administrativo, derechos de defensa ni violación al principio de legalidad y sus derivaciones.</w:t>
      </w:r>
    </w:p>
    <w:p w:rsidR="00480B34" w:rsidRDefault="002E05B4">
      <w:pPr>
        <w:kinsoku w:val="0"/>
        <w:overflowPunct w:val="0"/>
        <w:autoSpaceDE/>
        <w:autoSpaceDN/>
        <w:adjustRightInd/>
        <w:spacing w:before="362" w:line="267" w:lineRule="exact"/>
        <w:ind w:left="72"/>
        <w:jc w:val="center"/>
        <w:textAlignment w:val="baseline"/>
        <w:rPr>
          <w:b/>
          <w:bCs/>
          <w:spacing w:val="5"/>
          <w:sz w:val="23"/>
          <w:szCs w:val="23"/>
          <w:lang w:val="es-ES" w:eastAsia="es-ES"/>
        </w:rPr>
      </w:pPr>
      <w:r>
        <w:rPr>
          <w:b/>
          <w:bCs/>
          <w:spacing w:val="5"/>
          <w:sz w:val="23"/>
          <w:szCs w:val="23"/>
          <w:lang w:val="es-ES" w:eastAsia="es-ES"/>
        </w:rPr>
        <w:t>POR TANTO</w:t>
      </w:r>
    </w:p>
    <w:p w:rsidR="00480B34" w:rsidRDefault="002E05B4">
      <w:pPr>
        <w:kinsoku w:val="0"/>
        <w:overflowPunct w:val="0"/>
        <w:autoSpaceDE/>
        <w:autoSpaceDN/>
        <w:adjustRightInd/>
        <w:spacing w:before="350" w:after="451" w:line="318" w:lineRule="exact"/>
        <w:ind w:left="72" w:right="144"/>
        <w:jc w:val="both"/>
        <w:textAlignment w:val="baseline"/>
        <w:rPr>
          <w:sz w:val="23"/>
          <w:szCs w:val="23"/>
          <w:lang w:val="es-ES" w:eastAsia="es-ES"/>
        </w:rPr>
      </w:pPr>
      <w:r>
        <w:rPr>
          <w:b/>
          <w:bCs/>
          <w:sz w:val="23"/>
          <w:szCs w:val="23"/>
          <w:lang w:val="es-ES" w:eastAsia="es-ES"/>
        </w:rPr>
        <w:t xml:space="preserve">I.- </w:t>
      </w:r>
      <w:r>
        <w:rPr>
          <w:sz w:val="23"/>
          <w:szCs w:val="23"/>
          <w:lang w:val="es-ES" w:eastAsia="es-ES"/>
        </w:rPr>
        <w:t xml:space="preserve">Se declara </w:t>
      </w:r>
      <w:r w:rsidRPr="00673C04">
        <w:rPr>
          <w:b/>
          <w:sz w:val="23"/>
          <w:szCs w:val="23"/>
          <w:lang w:val="es-ES" w:eastAsia="es-ES"/>
        </w:rPr>
        <w:t xml:space="preserve">IMPROCEDENTE </w:t>
      </w:r>
      <w:r>
        <w:rPr>
          <w:sz w:val="23"/>
          <w:szCs w:val="23"/>
          <w:lang w:val="es-ES" w:eastAsia="es-ES"/>
        </w:rPr>
        <w:t xml:space="preserve">por no ser el momento procesal oportuno para la interposición del </w:t>
      </w:r>
      <w:r w:rsidRPr="00673C04">
        <w:rPr>
          <w:b/>
          <w:sz w:val="23"/>
          <w:szCs w:val="23"/>
          <w:lang w:val="es-ES" w:eastAsia="es-ES"/>
        </w:rPr>
        <w:t>RECURSO DE APELACIÓN EN SUBSIDIO E INCIDENTES DE NULIDAD ABSOLUTA CONCOMITANTE Y SUSPENSIÓN DE LOS EFECTOS DEL ACTO</w:t>
      </w:r>
      <w:r>
        <w:rPr>
          <w:sz w:val="23"/>
          <w:szCs w:val="23"/>
          <w:lang w:val="es-ES" w:eastAsia="es-ES"/>
        </w:rPr>
        <w:t xml:space="preserve">, interpuesto por </w:t>
      </w:r>
      <w:proofErr w:type="spellStart"/>
      <w:r w:rsidRPr="00673C04">
        <w:rPr>
          <w:b/>
          <w:sz w:val="23"/>
          <w:szCs w:val="23"/>
          <w:lang w:val="es-ES" w:eastAsia="es-ES"/>
        </w:rPr>
        <w:t>G</w:t>
      </w:r>
      <w:r w:rsidR="00673C04">
        <w:rPr>
          <w:b/>
          <w:sz w:val="23"/>
          <w:szCs w:val="23"/>
          <w:lang w:val="es-ES" w:eastAsia="es-ES"/>
        </w:rPr>
        <w:t>.D.Z.J</w:t>
      </w:r>
      <w:proofErr w:type="spellEnd"/>
      <w:r w:rsidR="00673C04">
        <w:rPr>
          <w:b/>
          <w:sz w:val="23"/>
          <w:szCs w:val="23"/>
          <w:lang w:val="es-ES" w:eastAsia="es-ES"/>
        </w:rPr>
        <w:t>.</w:t>
      </w:r>
      <w:r>
        <w:rPr>
          <w:sz w:val="23"/>
          <w:szCs w:val="23"/>
          <w:lang w:val="es-ES" w:eastAsia="es-ES"/>
        </w:rPr>
        <w:t xml:space="preserve"> cédula de identidad número </w:t>
      </w:r>
      <w:r w:rsidR="00673C04">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7.12 de la Sesión Ordinaria 25-2017, celebrada el 21 de junio del 2017 </w:t>
      </w:r>
      <w:r>
        <w:rPr>
          <w:sz w:val="23"/>
          <w:szCs w:val="23"/>
          <w:lang w:val="es-ES" w:eastAsia="es-ES"/>
        </w:rPr>
        <w:t>por la Junta Directiva del Consejo de Transporte Público.</w:t>
      </w:r>
    </w:p>
    <w:p w:rsidR="00480B34" w:rsidRDefault="00480B34">
      <w:pPr>
        <w:widowControl/>
        <w:rPr>
          <w:sz w:val="24"/>
          <w:szCs w:val="24"/>
        </w:rPr>
        <w:sectPr w:rsidR="00480B34">
          <w:pgSz w:w="12326" w:h="15744"/>
          <w:pgMar w:top="1320" w:right="1593" w:bottom="308" w:left="1633" w:header="720" w:footer="720" w:gutter="0"/>
          <w:cols w:space="720"/>
          <w:noEndnote/>
        </w:sectPr>
      </w:pPr>
    </w:p>
    <w:p w:rsidR="00480B34" w:rsidRDefault="00480B34">
      <w:pPr>
        <w:widowControl/>
        <w:rPr>
          <w:sz w:val="24"/>
          <w:szCs w:val="24"/>
        </w:rPr>
        <w:sectPr w:rsidR="00480B34">
          <w:type w:val="continuous"/>
          <w:pgSz w:w="12326" w:h="15744"/>
          <w:pgMar w:top="1320" w:right="1772" w:bottom="308" w:left="8314" w:header="720" w:footer="720" w:gutter="0"/>
          <w:cols w:space="720"/>
          <w:noEndnote/>
        </w:sectPr>
      </w:pPr>
    </w:p>
    <w:p w:rsidR="00480B34" w:rsidRDefault="002E05B4" w:rsidP="00673C04">
      <w:pPr>
        <w:kinsoku w:val="0"/>
        <w:overflowPunct w:val="0"/>
        <w:autoSpaceDE/>
        <w:autoSpaceDN/>
        <w:adjustRightInd/>
        <w:spacing w:after="545" w:line="301" w:lineRule="exact"/>
        <w:ind w:right="216"/>
        <w:jc w:val="both"/>
        <w:textAlignment w:val="baseline"/>
        <w:rPr>
          <w:sz w:val="24"/>
          <w:szCs w:val="24"/>
        </w:rPr>
      </w:pPr>
      <w:r>
        <w:rPr>
          <w:b/>
          <w:bCs/>
          <w:sz w:val="24"/>
          <w:szCs w:val="24"/>
          <w:lang w:val="es-ES" w:eastAsia="es-ES"/>
        </w:rPr>
        <w:lastRenderedPageBreak/>
        <w:t xml:space="preserve">II.- </w:t>
      </w:r>
      <w:r>
        <w:rPr>
          <w:sz w:val="24"/>
          <w:szCs w:val="24"/>
          <w:lang w:val="es-ES" w:eastAsia="es-ES"/>
        </w:rPr>
        <w:t xml:space="preserve">De conformidad con el artículo 22, inciso c), de la citada Ley 7969, la presente resolución no tiene ulterior recurso por lo que, se tiene por agotada la vía administrativa. </w:t>
      </w:r>
      <w:r>
        <w:rPr>
          <w:b/>
          <w:bCs/>
          <w:sz w:val="24"/>
          <w:szCs w:val="24"/>
          <w:lang w:val="es-ES" w:eastAsia="es-ES"/>
        </w:rPr>
        <w:t>NOTIFÍQUESE. -</w:t>
      </w:r>
    </w:p>
    <w:p w:rsidR="00480B34" w:rsidRDefault="00480B34">
      <w:pPr>
        <w:widowControl/>
        <w:rPr>
          <w:sz w:val="24"/>
          <w:szCs w:val="24"/>
        </w:rPr>
      </w:pPr>
    </w:p>
    <w:p w:rsidR="00673C04" w:rsidRPr="00DE692E" w:rsidRDefault="00673C04" w:rsidP="00673C04">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673C04" w:rsidRPr="00DE692E" w:rsidRDefault="00673C04" w:rsidP="00673C04">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673C04" w:rsidRDefault="00673C04" w:rsidP="00673C04">
      <w:pPr>
        <w:widowControl/>
        <w:jc w:val="center"/>
        <w:rPr>
          <w:sz w:val="24"/>
          <w:szCs w:val="24"/>
        </w:rPr>
        <w:sectPr w:rsidR="00673C04">
          <w:pgSz w:w="12293" w:h="15787"/>
          <w:pgMar w:top="1820" w:right="1398" w:bottom="243" w:left="1795" w:header="720" w:footer="720" w:gutter="0"/>
          <w:cols w:space="720"/>
          <w:noEndnote/>
        </w:sect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2E05B4" w:rsidRDefault="002E05B4" w:rsidP="00673C04">
      <w:pPr>
        <w:kinsoku w:val="0"/>
        <w:overflowPunct w:val="0"/>
        <w:autoSpaceDE/>
        <w:autoSpaceDN/>
        <w:adjustRightInd/>
        <w:spacing w:before="6" w:line="214" w:lineRule="exact"/>
        <w:textAlignment w:val="baseline"/>
        <w:rPr>
          <w:spacing w:val="-3"/>
          <w:sz w:val="21"/>
          <w:szCs w:val="21"/>
          <w:lang w:val="es-ES" w:eastAsia="es-ES"/>
        </w:rPr>
      </w:pPr>
    </w:p>
    <w:sectPr w:rsidR="002E05B4">
      <w:type w:val="continuous"/>
      <w:pgSz w:w="12293" w:h="15787"/>
      <w:pgMar w:top="1820" w:right="1691" w:bottom="243" w:left="838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02D0"/>
    <w:multiLevelType w:val="singleLevel"/>
    <w:tmpl w:val="2E711767"/>
    <w:lvl w:ilvl="0">
      <w:start w:val="7"/>
      <w:numFmt w:val="lowerLetter"/>
      <w:lvlText w:val="%1)"/>
      <w:lvlJc w:val="left"/>
      <w:pPr>
        <w:tabs>
          <w:tab w:val="num" w:pos="432"/>
        </w:tabs>
        <w:ind w:left="432" w:hanging="360"/>
      </w:pPr>
      <w:rPr>
        <w:snapToGrid/>
        <w:sz w:val="21"/>
        <w:szCs w:val="21"/>
      </w:rPr>
    </w:lvl>
  </w:abstractNum>
  <w:abstractNum w:abstractNumId="1" w15:restartNumberingAfterBreak="0">
    <w:nsid w:val="071A1B5A"/>
    <w:multiLevelType w:val="singleLevel"/>
    <w:tmpl w:val="7AE048E4"/>
    <w:lvl w:ilvl="0">
      <w:start w:val="1"/>
      <w:numFmt w:val="decimal"/>
      <w:lvlText w:val="%1."/>
      <w:lvlJc w:val="left"/>
      <w:pPr>
        <w:tabs>
          <w:tab w:val="num" w:pos="1368"/>
        </w:tabs>
        <w:ind w:left="1368" w:hanging="360"/>
      </w:pPr>
      <w:rPr>
        <w:b w:val="0"/>
        <w:snapToGrid/>
        <w:spacing w:val="-8"/>
        <w:sz w:val="22"/>
        <w:szCs w:val="22"/>
      </w:rPr>
    </w:lvl>
  </w:abstractNum>
  <w:abstractNum w:abstractNumId="2" w15:restartNumberingAfterBreak="0">
    <w:nsid w:val="07A22751"/>
    <w:multiLevelType w:val="singleLevel"/>
    <w:tmpl w:val="1EBE8335"/>
    <w:lvl w:ilvl="0">
      <w:start w:val="1"/>
      <w:numFmt w:val="lowerLetter"/>
      <w:lvlText w:val="%1)"/>
      <w:lvlJc w:val="left"/>
      <w:pPr>
        <w:tabs>
          <w:tab w:val="num" w:pos="432"/>
        </w:tabs>
        <w:ind w:left="432" w:hanging="360"/>
      </w:pPr>
      <w:rPr>
        <w:snapToGrid/>
        <w:sz w:val="21"/>
        <w:szCs w:val="21"/>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04"/>
    <w:rsid w:val="002E05B4"/>
    <w:rsid w:val="00445ABB"/>
    <w:rsid w:val="00480B34"/>
    <w:rsid w:val="00673C0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245CD4-452C-4DA4-A781-B7118E4A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2017-12-20T15:12:00Z</dcterms:created>
  <dcterms:modified xsi:type="dcterms:W3CDTF">2017-12-20T15:12:00Z</dcterms:modified>
</cp:coreProperties>
</file>